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A7B" w:rsidRPr="001668F6" w:rsidRDefault="00D03A7B" w:rsidP="00D03A7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1668F6">
        <w:rPr>
          <w:rFonts w:ascii="Times New Roman" w:hAnsi="Times New Roman"/>
          <w:sz w:val="26"/>
          <w:szCs w:val="26"/>
          <w:lang w:val="ru-RU"/>
        </w:rPr>
        <w:t xml:space="preserve">Приложение 2 </w:t>
      </w:r>
    </w:p>
    <w:p w:rsidR="00D03A7B" w:rsidRPr="001668F6" w:rsidRDefault="00D03A7B" w:rsidP="00D03A7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1668F6">
        <w:rPr>
          <w:rFonts w:ascii="Times New Roman" w:hAnsi="Times New Roman"/>
          <w:sz w:val="26"/>
          <w:szCs w:val="26"/>
          <w:lang w:val="ru-RU"/>
        </w:rPr>
        <w:t>к письму Минэкономики УР</w:t>
      </w:r>
    </w:p>
    <w:p w:rsidR="00D03A7B" w:rsidRPr="001668F6" w:rsidRDefault="00D03A7B" w:rsidP="00D03A7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1668F6">
        <w:rPr>
          <w:rFonts w:ascii="Times New Roman" w:hAnsi="Times New Roman"/>
          <w:sz w:val="26"/>
          <w:szCs w:val="26"/>
          <w:lang w:val="ru-RU"/>
        </w:rPr>
        <w:t xml:space="preserve">от </w:t>
      </w:r>
      <w:r>
        <w:rPr>
          <w:rFonts w:ascii="Times New Roman" w:hAnsi="Times New Roman"/>
          <w:sz w:val="26"/>
          <w:szCs w:val="26"/>
          <w:lang w:val="ru-RU"/>
        </w:rPr>
        <w:t xml:space="preserve">23.12.2021 г. </w:t>
      </w:r>
      <w:r w:rsidRPr="001668F6">
        <w:rPr>
          <w:rFonts w:ascii="Times New Roman" w:hAnsi="Times New Roman"/>
          <w:sz w:val="26"/>
          <w:szCs w:val="26"/>
          <w:lang w:val="ru-RU"/>
        </w:rPr>
        <w:t>№</w:t>
      </w:r>
      <w:r>
        <w:rPr>
          <w:rFonts w:ascii="Times New Roman" w:hAnsi="Times New Roman"/>
          <w:sz w:val="26"/>
          <w:szCs w:val="26"/>
          <w:lang w:val="ru-RU"/>
        </w:rPr>
        <w:t>07-08/05076</w:t>
      </w:r>
    </w:p>
    <w:p w:rsidR="00D03A7B" w:rsidRPr="001668F6" w:rsidRDefault="00D03A7B" w:rsidP="00D03A7B">
      <w:pPr>
        <w:tabs>
          <w:tab w:val="left" w:pos="993"/>
        </w:tabs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D03A7B" w:rsidRPr="001668F6" w:rsidRDefault="00D03A7B" w:rsidP="00D03A7B">
      <w:pPr>
        <w:tabs>
          <w:tab w:val="left" w:pos="993"/>
        </w:tabs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 xml:space="preserve">Аналитическая информация за 2021 год  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>по муниципальному образованию «Город Можга»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Информация о лучших муниципальных «белых» практиках, внедряемых (применяемых) на территории муниципального образования, оказывающих положительное влияние на развитие конкуренции: 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u w:val="single"/>
          <w:lang w:val="ru-RU" w:bidi="ar-SA"/>
        </w:rPr>
        <w:t>Муниципальные программы, предусматривающие развитие конкуренции</w:t>
      </w: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: муниципальная программа «Создание условий для развития малого и среднего предпринимательства в муниципальном образовании «Город Можга» на 2015 - 2024 годы»;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Решение городской Думы МО "Город Можга" №334 от 29 декабря 2014 года «О Стратегии социально-экономического развития муниципального образования "Город Можга" на 2015-2025 годы»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Постановление Администрации МО «Город Можга» № 962 от 29.06.2016 г. «О Плане мероприятий по реализации Стратегии социально-экономического развития муниципального образования «Город Можга» на 2015-2025 годы»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Внедрение Стандарта развития конкуренции: Постановление Администрации МО "Город Можга" №1210 от 01.08.2017 г. "Об утверждении Плана мероприятий по внедрению Стандарта развития конкуренции на территории МО "Город Можга"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u w:val="single"/>
          <w:lang w:val="ru-RU" w:bidi="ar-SA"/>
        </w:rPr>
        <w:t>Меры по совершенствованию процедуры государственных и муниципальных закупок: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- Постановление Администрации МО "Город Можга" №474 от 29.03.2019 г. «О централизации закупок, осуществляемых муниципальными заказчиками муниципального образования «Город Можга», муниципальными бюджетными учреждениями муниципального образования «Город Можга», унитарными предприятиями муниципального образования «Город Можга»; 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Постановление Администрации МО "Город Можга" № 1153 от 16.08.2019г. "Об утверждении типового положения о закупке товаров, работ, услуг для муниципальных бюджетных, муниципальных автономных учреждений, муниципальных унитарных предприятий муниципального образования «Город Можга»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u w:val="single"/>
          <w:lang w:val="ru-RU" w:bidi="ar-SA"/>
        </w:rPr>
        <w:t>Развитие экономического потенциала и формирование благоприятного предпринимательского климата</w:t>
      </w: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: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Постановление Администрации МО «Город Можга» от 25 декабря 2017 №1947 «Об утверждении порядка предоставления муниципального имущества муниципального образования «Город Можга» во владение и (или)пользование на долгосрочной основе на льготных условиях;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Постановление Администрации МО «Город Можга» от 12.07.2016 № 1042 «Об утверждении перечня имущества, находящегося в собственности муниципального образования «Город Можга», предназначенного для передачи во владение и (или) в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Постановление Администрации МО «Город Можга» от 25.12.2017 № 1947 «Об утверждении порядка предоставления муниципального имущества муниципального образования «Город Можга»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во владение и (или) пользование на долгосрочной основе на льготных условиях»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lastRenderedPageBreak/>
        <w:t>- Постановление Администрации МО "Город Можга" №304.1 от 18.03.2021 г. «Об утверждении Перечня объектов, в отношении которых планируется заключение концессионных соглашений в 2021 году»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- Распоряжение Администрации МО "Город Можга" № 152-р от 18.05.2020 г. «О мерах поддержки субъектов малого и среднего предпринимательства, а также организаций и индивидуальных предпринимателей, осуществляющих деятельность на территории муниципального образования «Город Можга» в отраслях российской экономики, в наибольшей степени пострадавших в условиях ухудшения ситуации в связи с распространением новой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коронавирусной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 инфекции»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Постановление Администрации МО "Город Можга" №1781 от 24.12.2021 г. «О создании Координационного совета по малому и среднему предпринимательству при Главе муниципального образования «Город Можга»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Постановление Администрации МО "Город Можга" №1101 от 07.07.2017 г. «Об утверждении Плана мероприятий (дорожной карты) по внедрению на территории муниципального образования "Город Можга" успешных практик, вошедших в Атлас, направленных на развитие малого и среднего предпринимательства на муниципальном уровне»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 w:cs="Times New Roman"/>
          <w:b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b/>
          <w:iCs/>
          <w:sz w:val="26"/>
          <w:szCs w:val="26"/>
          <w:lang w:val="ru-RU" w:bidi="ar-SA"/>
        </w:rPr>
        <w:t>Информация о наиболее значимых событиях (международного, всероссийского, межрегионального уровня), заключенных соглашениях, мероприятиях, осуществленных в рамках реализации системных мероприятий и результатах их реализации в 2021 году.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Для привлечения инвесторов на официальном сайте МО «Город Можга» создан раздел «Инвестиционная привлекательность города», в котором можно получить информацию об экономическом потенциале, инвестиционном климате города, мерах государственной поддержки инвестиционной деятельности, о планируемых и реализуемых инвестиционных проектах</w:t>
      </w:r>
      <w:r w:rsidR="001F1BDD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, </w:t>
      </w:r>
      <w:proofErr w:type="spellStart"/>
      <w:r w:rsidR="001F1BDD">
        <w:rPr>
          <w:rFonts w:ascii="Times New Roman" w:hAnsi="Times New Roman" w:cs="Times New Roman"/>
          <w:iCs/>
          <w:sz w:val="26"/>
          <w:szCs w:val="26"/>
          <w:lang w:val="ru-RU" w:bidi="ar-SA"/>
        </w:rPr>
        <w:t>кинорассказ</w:t>
      </w:r>
      <w:proofErr w:type="spellEnd"/>
      <w:r w:rsidR="001F1BDD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о городе</w:t>
      </w: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hyperlink r:id="rId5" w:history="1">
        <w:r w:rsidRPr="00C23424">
          <w:rPr>
            <w:rStyle w:val="a4"/>
            <w:rFonts w:ascii="Times New Roman" w:hAnsi="Times New Roman" w:cs="Times New Roman"/>
            <w:iCs/>
            <w:sz w:val="26"/>
            <w:szCs w:val="26"/>
            <w:lang w:val="ru-RU" w:bidi="ar-SA"/>
          </w:rPr>
          <w:t>https://www.mozhga-gov.ru/city/invest/investment-attractiveness/</w:t>
        </w:r>
      </w:hyperlink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). Информация раздела обновляется по мере необходимости.</w:t>
      </w:r>
      <w:r w:rsidR="001F1BDD" w:rsidRPr="001F1BDD">
        <w:rPr>
          <w:lang w:val="ru-RU"/>
        </w:rPr>
        <w:t xml:space="preserve"> 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Регулярно, с участием Главы МО «Город Можга», проводятся переговоры с потенциальными инвесторами, направляются предложения с описанием имеющихся инвестиционных площадок (на сегодняшний день на территории МО Город Можга» - 21 земельный участок), проводятся рабочие совещания по реализации инвестиционных проектов, обсуждаются новые проекты и ход их реализации, в том числе с участием предпринимательского сообщества в рамках Координационного совета по малому и среднему предпринимательству при Главе муниципального образования «Город Можга», с участием </w:t>
      </w:r>
      <w:proofErr w:type="spell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ресурсоснабжающих</w:t>
      </w:r>
      <w:proofErr w:type="spell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организаций.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Продолжается работа по созданию комфортных условий для реализации творческого потенциала жителей города.  Всего в 2021 году   учреждениями культуры проведено 2 тысячи 880 мероприятий (2020 год - 1 тысяча 936 мероприятий). С 125 до 129 увеличилось количество клубных формирований.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В отчетном году подведомственные учреждения активно принимали участие в проектной деятельности, было подготовлено и направлено на разные конкурсы на получение грантов 56 проектов на сумму 18 миллионов рублей. Получили поддержку 9 проектов на общую сумму 3 миллиона 930 тысяч 74 рублей. 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Сотрудники музея «Набат памяти», культурного центра «СВЕТ» и ДК «</w:t>
      </w:r>
      <w:proofErr w:type="gram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Дубитель»  в</w:t>
      </w:r>
      <w:proofErr w:type="gram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2021 году стали победителями  первого конкурса  Президентского фонда культурных инициатив. На данные средства в </w:t>
      </w:r>
      <w:proofErr w:type="gram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учреждениях  идет</w:t>
      </w:r>
      <w:proofErr w:type="gram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реализация проектов «Клуб отважных», «Голос </w:t>
      </w:r>
      <w:proofErr w:type="spell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крезя</w:t>
      </w:r>
      <w:proofErr w:type="spell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», «Хранители времени». Также культурный центр «СВЕТ» стал победителем конкурса В.  Потанина с проектом «Крокет. Первая игра города Можги».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lastRenderedPageBreak/>
        <w:t xml:space="preserve">Филиал библиотеки № 2 в </w:t>
      </w:r>
      <w:proofErr w:type="spell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Наговицынском</w:t>
      </w:r>
      <w:proofErr w:type="spell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микрорайоне стал победителем федерального проекта «Модельная библиотека», в рамках национального проекта «Культура». Сумма привлеченных средств составила 6 миллионов рублей.  Это </w:t>
      </w:r>
      <w:proofErr w:type="gram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совершенно  новый</w:t>
      </w:r>
      <w:proofErr w:type="gram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формат библиотеки с современным дизайном, интерактивным  оборудованием, многоотраслевым фондом, использованием новейших информационных технологий.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  <w:proofErr w:type="gram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Четыре  учреждения</w:t>
      </w:r>
      <w:proofErr w:type="gram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:  музей «Набат памяти», историко-краеведческий музей.  ДК «Дубитель» и КЦ «Свет» стали участниками федерального проекта «Пушкинская карта». Самым ярким мероприятием данного </w:t>
      </w:r>
      <w:proofErr w:type="gramStart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>проекта  является</w:t>
      </w:r>
      <w:proofErr w:type="gramEnd"/>
      <w:r w:rsidRPr="00C23424">
        <w:rPr>
          <w:rFonts w:ascii="Times New Roman" w:hAnsi="Times New Roman" w:cs="Times New Roman"/>
          <w:iCs/>
          <w:sz w:val="26"/>
          <w:szCs w:val="26"/>
          <w:lang w:val="ru-RU" w:bidi="ar-SA"/>
        </w:rPr>
        <w:t xml:space="preserve">  новогодняя программа на льду, подготовленная  творческой командой  культурного центра «СВЕТ». Министерство спорта РФ дало положительную оценку успешному кейсу Можги: первый и единственный город России, кто придумал и реализовал подобный проект для обладателей карт федерального проекта.</w:t>
      </w: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ru-RU" w:bidi="ar-SA"/>
        </w:rPr>
      </w:pPr>
    </w:p>
    <w:p w:rsidR="00D03A7B" w:rsidRPr="00C23424" w:rsidRDefault="00D03A7B" w:rsidP="00D03A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Заключено 16 соглашений с Министерством финансов УР о предоставлении субсидии из бюджета УР бюджету муниципального образования «Город Можга» на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/>
        </w:rPr>
        <w:t>софинансирование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проектов развития общественной инфраструктуры, основанного на местной инициативе</w:t>
      </w:r>
      <w:r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все проекты успешно реализованы. </w:t>
      </w: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Благодаря реализации программы «Наша инициатива», в 2021 году в нашем городе появилось 9 детских игровых площадок и 5 спортивных площадок, произведён ремонт одной дороги, а также благоустроенна территория памятника воинам-интернационалистам, погибшим при исполнении воинского долга в Афганистане, Чечне и участвовавшим в локальных военных конфликтах «Сквер памяти». На реализацию этих проектов из бюджета Удмуртской Республики было выделено более 10 млн. рублей, более 1,5 млн. руб. – из городского бюджета, более 1,5 млн. рублей – средства спонсоров, более 1,5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млн.руб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. – собственные средства горожан. МО «Город Можга» по итогам рейтингового участия в проекте «Наша инициатива» стал лидером среди других городов Удмуртии, на реализацию новых проектов получен сертификат в размере 1 млн. руб.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Кроме этого, заключено 8 соглашений с Министерством финансов УР о предоставлении иного межбюджетного трансферта из бюджета УР бюджету муниципального образования «Город Можга» на 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софинансирование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проектов молодежного инициативного бюджетирования. Реализовано 8 проектов конкурса молодёжного бюджетирования «Атмосфера» на сумму 2 миллиона 486 тысяч рублей. Это проекты спортивной направленности – «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Спортбол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объединяет!», «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Скалодром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», «Спорт в массы»; по патриотическому воспитанию - «Марши во славу Победы»; по самореализации молодёжи – «ЯМЫ. Ничего лишнего» и «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</w:rPr>
        <w:t>Djily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- школа 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диджеинга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и электронной музыки»; по ремонту клуба по месту жительства – «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Энерджи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.</w:t>
      </w:r>
      <w:proofErr w:type="spellStart"/>
      <w:r w:rsidRPr="00C23424">
        <w:rPr>
          <w:rFonts w:ascii="Times New Roman" w:eastAsia="Times New Roman" w:hAnsi="Times New Roman" w:cs="Times New Roman"/>
          <w:sz w:val="26"/>
          <w:szCs w:val="26"/>
        </w:rPr>
        <w:t>ru</w:t>
      </w:r>
      <w:proofErr w:type="spellEnd"/>
      <w:r w:rsidRPr="00C23424">
        <w:rPr>
          <w:rFonts w:ascii="Times New Roman" w:eastAsia="Times New Roman" w:hAnsi="Times New Roman" w:cs="Times New Roman"/>
          <w:sz w:val="26"/>
          <w:szCs w:val="26"/>
          <w:lang w:val="ru-RU"/>
        </w:rPr>
        <w:t>» и проект «Космодром» по развитию детей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С целью реализации федерального проекта "Спорт - норма жизни" в 2021 году установлены площадки ГТО в СОШ №4 (10.11.2021 г.), КОШ №7 (29.10.2021 г.)  и спортивные площадки д/с № 20,4,18,27 г. Можги, а также спортивные комплексы тренажёров на придомовых территориях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Наговицынский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 микрорайон, 27 и Родниковая, 63, а также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скейт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-площадка на центральной площади города, в рамках реализации проекта инициативного бюджетирования. В рамках Адресно-инвестиционной программы Удмуртской республики на территории школы № 10 города был построен новый спортивный стадион.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В 2021 г. состоялась Стратегическая сессия по развитию спорта в МО "Город Можга" с участием представителей бизнеса (46 участников).</w:t>
      </w:r>
    </w:p>
    <w:p w:rsidR="00D03A7B" w:rsidRPr="00C23424" w:rsidRDefault="00D03A7B" w:rsidP="00D03A7B">
      <w:pPr>
        <w:pStyle w:val="1"/>
        <w:spacing w:line="240" w:lineRule="atLeast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23424">
        <w:rPr>
          <w:rFonts w:ascii="Times New Roman" w:eastAsia="Times New Roman" w:hAnsi="Times New Roman" w:cs="Times New Roman"/>
          <w:sz w:val="26"/>
          <w:szCs w:val="26"/>
        </w:rPr>
        <w:t xml:space="preserve">Военно-патриотический клуб «Легион», который ратует за воспитание у подростков уважения и любви к Отечеству, в 2021 году стал победителем республиканского конкурса «Лучшее муниципальное </w:t>
      </w:r>
      <w:proofErr w:type="gramStart"/>
      <w:r w:rsidRPr="00C23424">
        <w:rPr>
          <w:rFonts w:ascii="Times New Roman" w:eastAsia="Times New Roman" w:hAnsi="Times New Roman" w:cs="Times New Roman"/>
          <w:sz w:val="26"/>
          <w:szCs w:val="26"/>
        </w:rPr>
        <w:t>образование»  и</w:t>
      </w:r>
      <w:proofErr w:type="gramEnd"/>
      <w:r w:rsidRPr="00C23424">
        <w:rPr>
          <w:rFonts w:ascii="Times New Roman" w:eastAsia="Times New Roman" w:hAnsi="Times New Roman" w:cs="Times New Roman"/>
          <w:sz w:val="26"/>
          <w:szCs w:val="26"/>
        </w:rPr>
        <w:t xml:space="preserve"> получил на свое  развитие  800 тысяч рублей.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lastRenderedPageBreak/>
        <w:t xml:space="preserve">Продолжается работа по популяризации туризма и привлечению большего количества посетителей. Туризм в городе Можге функционирует и развивается в трех направлениях: культурно-познавательный туризм (событийные мероприятия, туристические маршруты); спортивный (спортивные мероприятия); промышленный (посещение предприятий города).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Действуют 9 туристических маршрутов, которые в 2021 году посетили 2966 человек. Состоялось 18 событийных мероприятий, в которых приняли участие 5500 гостей города.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Большой поток туристов проходит через спортивные объекты Ледовая арена «Можга» и ФОК ЛПУМГ, а также зал пляжных видов спорта ЗАО «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Можхим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».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С целью развития туристической деятельности на различные конкурсы и гранты было направлено 12 проектов на общую сумму 8182,00 тыс. руб. (Президентские гранты, Конкурс «Культурная мозаика Удмуртии», АИС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Росмолодежь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, Конкурс проектов Фонда В. Потанина, Православная инициатива). Поддержку получили 4 проекта в таких учреждениях, как: музей «Набат памяти», ДК «Дубитель» и КЦ «Свет».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Планируется: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1. Совместно с АО «Российские железные дороги» разрабатывается вопрос о создании и реализации нового историко-культурного проекта экскурсий выходного дня с посещением здания исторического наследия «Железнодорожный вокзал г. Можга»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2. Открытие нового туристического промышленного маршрута «Город-завод» и маршрута по развитию этнографического туризма «Земля Можга батыра» (привлечение бизнес сообщества в развитие туризма в городе). 3. Развитие событийного туризма – организация массовых мероприятий и   проведение фестивалей: «На Родине Можга-батыра», «Райская птица», «Фестиваль русской культуры им.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Т.Приваловой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», «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КрезьFеst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», спортивные соревнования различного уровня и др.    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9 сентября 2021 года состоялось торжественное открытие нового Транспортно-пересадочного узла, который отвечает современным стандартам комфорта, надежности и безопасности, адаптирован для маломобильных пассажиров. Здесь имеется общий зал ожидания для пассажиров поездов и автобусов, комната для пассажиров с детьми, кассы пригородного и дальнего сообщения, буфет, санитарные комнаты. Установлены системы автоматического оповещения пассажиров. Для минимизации риска распространения вирусных инфекций помещения оснащены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рециркуляторами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.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В рамках проекта выполнено благоустройство привокзальной территории, построена новая береговая пассажирская платформа. Для удобства пассажиров организованы прямые выходы из здания на железнодорожную платформу и на автобусную площадку. Здание рассчитано на одновременное пребывание 250 пассажиров. Прогнозируемый пассажиропоток через ТПУ составит более 700 человек в сутки.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Ответственные сотрудники Администрации МО «Город Можга» приняли участие в обучающих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вебинарах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 и семинарах: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- ВКС «Практика применения антимонопольного законодательства. Антимонопольный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комплаенс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»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Основы экспортной деятельности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- Размещение на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маркетплейсах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 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Особенности работы с маркированной продукцией, система "честный знак (при поддержке ООО «АТС» (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г.Ижевск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)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Семинар «Особенности работы с маркированной молочной продукцией при их реализации»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Особенности применения упрощенной и патентной систем налогообложения в 2021 году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lastRenderedPageBreak/>
        <w:t>- Семинар «Налоговые изменения в 2022 году»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- этапы внедрения маркировки молочной продукции;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- проведено 2 заседания Совета по предпринимательству при Главе МО "Город Можга" в котором приняли участие: Глава МО "Город Можга", Уполномоченный по защите прав предпринимателей в Удмуртской Республике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А.Н.Прасолов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, представитель Уполномоченного по защите прав предпринимателей в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г.Можге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>Блинова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 w:bidi="ar-SA"/>
        </w:rPr>
        <w:t xml:space="preserve"> О.А., сотрудники отдела экономического развития Администрации МО "Город Можга", представители предпринимательского сообщества (49 ч.), 3 потенциальных инвестора.  </w:t>
      </w: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spacing w:after="0" w:line="240" w:lineRule="auto"/>
        <w:ind w:left="-284" w:firstLine="0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</w:p>
    <w:p w:rsidR="00D03A7B" w:rsidRPr="00C23424" w:rsidRDefault="00D03A7B" w:rsidP="00D03A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hanging="142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b/>
          <w:iCs/>
          <w:sz w:val="26"/>
          <w:szCs w:val="26"/>
          <w:lang w:val="ru-RU" w:bidi="ar-SA"/>
        </w:rPr>
        <w:t xml:space="preserve">В случае проведения </w:t>
      </w:r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>опросов населения и представителей бизнеса (помимо опроса, организованного Минэкономики УР в период с 14 сентября по 20 октября 2021 года) - результаты проведенных опросов, содержащих в том числе ссылку на раздел сайта ОМСУ в УР в сети Интернет (в формате http:/</w:t>
      </w:r>
      <w:proofErr w:type="gramStart"/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>/....</w:t>
      </w:r>
      <w:proofErr w:type="gramEnd"/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>), где размещена информация о проведении опроса.</w:t>
      </w:r>
    </w:p>
    <w:p w:rsidR="00D03A7B" w:rsidRPr="00C23424" w:rsidRDefault="00D03A7B" w:rsidP="00D03A7B">
      <w:pPr>
        <w:pStyle w:val="a3"/>
        <w:tabs>
          <w:tab w:val="left" w:pos="0"/>
        </w:tabs>
        <w:spacing w:after="0" w:line="240" w:lineRule="auto"/>
        <w:ind w:left="0" w:hanging="142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опрос на тему: «Социальный опрос общественного мнения по бюджетной тематике» (приняло участие 49 человек) </w:t>
      </w:r>
      <w:hyperlink r:id="rId6" w:history="1">
        <w:r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https://www.mozhga-gov.ru/city/finansy_i_byudzhet/oprosy</w:t>
        </w:r>
      </w:hyperlink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опрос на тему: «Социальный опрос общественного мнения на тему: «Бюджет для граждан» (приняло участие 48 человек) </w:t>
      </w:r>
      <w:hyperlink r:id="rId7" w:history="1">
        <w:r w:rsidRPr="00C23424">
          <w:rPr>
            <w:rStyle w:val="a4"/>
            <w:rFonts w:ascii="Times New Roman" w:hAnsi="Times New Roman" w:cs="Times New Roman"/>
            <w:sz w:val="26"/>
            <w:szCs w:val="26"/>
          </w:rPr>
          <w:t>h</w:t>
        </w:r>
        <w:r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ttps://www.mozhga-gov.ru/city/finansy_i_byudzhet/oprosy</w:t>
        </w:r>
      </w:hyperlink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Рейтинговое голосование по выбору общественной территории, подлежащей благоустройству в 2022 году в рамках реализации муниципальной программы «Формирование современной городской среды» </w:t>
      </w:r>
      <w:hyperlink r:id="rId8" w:history="1">
        <w:r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https://za-gorodsreda.ru</w:t>
        </w:r>
      </w:hyperlink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Анкетирование о качестве и объеме предоставляемых муниципальных услуг в муниципальных образовательных учреждениях, подведомственных Управлению образования Администрации муниципального образования "Город Можга" (ссылки на анкеты на официальных сайтах каждого учреждения </w:t>
      </w:r>
    </w:p>
    <w:p w:rsidR="00D03A7B" w:rsidRPr="00C23424" w:rsidRDefault="001F1BDD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hyperlink r:id="rId9" w:history="1">
        <w:r w:rsidR="00D03A7B"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https://docs.google.com/forms/d/1pYoixMX2bkO7zqx8iuYeJ2lFRgkUfcFwELR3EqT9WNU/viewform?edit_requested=true</w:t>
        </w:r>
      </w:hyperlink>
      <w:r w:rsidR="00D03A7B"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- МБОУ "СОШ №1"</w:t>
      </w:r>
    </w:p>
    <w:p w:rsidR="00D03A7B" w:rsidRPr="00C23424" w:rsidRDefault="001F1BDD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hyperlink r:id="rId10" w:history="1">
        <w:r w:rsidR="00D03A7B"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https://docs.google.com/forms/d/e/1FAIpQLSeW8Ik7IPoBTEFP0oLoBx6DqgEO677CLE3TN3xsRfDMyaau-A/viewform</w:t>
        </w:r>
      </w:hyperlink>
      <w:r w:rsidR="00D03A7B"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МБОУ "СОШ №10"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независимая оценка качества </w:t>
      </w:r>
      <w:proofErr w:type="gramStart"/>
      <w:r w:rsidRPr="00C23424">
        <w:rPr>
          <w:rFonts w:ascii="Times New Roman" w:hAnsi="Times New Roman" w:cs="Times New Roman"/>
          <w:sz w:val="26"/>
          <w:szCs w:val="26"/>
          <w:lang w:val="ru-RU"/>
        </w:rPr>
        <w:t>подготовки</w:t>
      </w:r>
      <w:proofErr w:type="gramEnd"/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обучающихся по дополнительным общеобразовательным программам (27 учреждений)</w:t>
      </w:r>
    </w:p>
    <w:p w:rsidR="00D03A7B" w:rsidRPr="00C23424" w:rsidRDefault="001F1BDD" w:rsidP="00D03A7B">
      <w:pPr>
        <w:tabs>
          <w:tab w:val="left" w:pos="993"/>
        </w:tabs>
        <w:spacing w:after="0" w:line="240" w:lineRule="auto"/>
        <w:ind w:firstLine="0"/>
        <w:rPr>
          <w:rStyle w:val="a4"/>
          <w:rFonts w:ascii="Times New Roman" w:hAnsi="Times New Roman" w:cs="Times New Roman"/>
          <w:sz w:val="26"/>
          <w:szCs w:val="26"/>
          <w:lang w:val="ru-RU"/>
        </w:rPr>
      </w:pPr>
      <w:hyperlink r:id="rId11" w:history="1">
        <w:r w:rsidR="00D03A7B"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https://rcoko18.ru/nokdod/2021/</w:t>
        </w:r>
      </w:hyperlink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Style w:val="a4"/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- общественное голосование «Мой выбор, мое будущее» - Молодежь города Можги</w:t>
      </w:r>
    </w:p>
    <w:p w:rsidR="00D03A7B" w:rsidRPr="00C23424" w:rsidRDefault="001F1BDD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hyperlink r:id="rId12" w:history="1">
        <w:r w:rsidR="00D03A7B"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https://www.mozhga-gov.ru/</w:t>
        </w:r>
      </w:hyperlink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 общественное голосование «Мой выбор, мое будущее» - «О работе культурного центра «СВЕТ» </w:t>
      </w:r>
      <w:hyperlink r:id="rId13" w:history="1">
        <w:r w:rsidRPr="00C23424">
          <w:rPr>
            <w:rStyle w:val="a4"/>
            <w:rFonts w:ascii="Times New Roman" w:hAnsi="Times New Roman" w:cs="Times New Roman"/>
            <w:sz w:val="26"/>
            <w:szCs w:val="26"/>
            <w:lang w:val="ru-RU"/>
          </w:rPr>
          <w:t>https://www.mozhga-gov.ru</w:t>
        </w:r>
      </w:hyperlink>
    </w:p>
    <w:p w:rsidR="00D03A7B" w:rsidRPr="00C23424" w:rsidRDefault="00D03A7B" w:rsidP="00D03A7B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Социологическое исследование «Изучение отдельных показателей для оценки эффективности деятельности органов местного самоуправления городских округов и муниципальных районов Удмуртской Республики» (в рамках исполнения Указа Президента РФ от 28.04.2008 г. №607 «Об оценке эффективности деятельности органов местного самоуправления городских округов и муниципальных районов»). </w:t>
      </w:r>
      <w:r w:rsidRPr="00C23424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Социологический опрос проводился ООО "АБВ" г. Можге в марте-апреле 2021 года.  Цель - оценка работы городских органов власти. Вид опроса - анкета. 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По результатам проведенного исследования можно сделать вывод о том, что в целом население г. Можга скорее довольно положением дел в своем городе, считают, что положение дел как минимум не ухудшается и можно сказать в целом вполне оптимистично смотрят в будущее. Более чем половину респондентов утаивает их жизнь в целом и в том числе проживание в г. Можга.</w:t>
      </w:r>
    </w:p>
    <w:p w:rsidR="00D03A7B" w:rsidRPr="00C23424" w:rsidRDefault="00D03A7B" w:rsidP="00D03A7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Традиционно показателями эффективности работы органов власти являются вопросы транспортной инфраструктуры, состояния дорог, вывоза мусора и благоустройство населенного пункта. Конечно, как в большинстве городов России, в г. Можга есть проблемы с транспортным обслуживанием — почти каждый второй не удовлетворен или скорее не удовлетворен организацией транспортного обслуживанием. Основными проблемами названы плохое техническое состояние транспорта и график движения.</w:t>
      </w:r>
    </w:p>
    <w:p w:rsidR="00D03A7B" w:rsidRPr="00C23424" w:rsidRDefault="00D03A7B" w:rsidP="00D03A7B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Жители г. Можга в целом положительно оценивают работу органов власти местного и регионального уровня. Наиболее положительное отношение респонденты выразили к Главе города Трофимову М.Ю. 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Результаты опроса проанализированы, применяются в работе.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>Информация о наличии поступивших в ОМСУ в УР обращений граждан, представителей бизнес-сообщества по вопросам наличия административных барьеров, состояния конкурентной среды, качества предоставляемых услуг (товаров, работ), динамики в сравнении с предыдущим отчетным периодом, результатах их рассмотрения.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В 2021 году в адрес Администрации МО «Город Можга» обращений по вопросам наличия административных барьеров и состояния конкурентной среды от представителей бизнес-сообщества не поступало.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По вопросам защиты прав потребителей поступило 128 обращений. Из общего количества поступивших обращений большинство приходится на предприятия торговли. При рассмотрении жалоб заявителей, 124 обращения разрешились в досудебном порядке. Характер жалоб: продажа товаров с недостатками, непредставление информации о товарах, работах, услугах; нарушение сроков исполнения услуг; предоставление услуг ненадлежащего качества и др.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426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     Оказана помощь четырём потребителям в виде составления исковых заявлений.      Количество исков, предъявленных в суды о прекращении противоправных действий изготовителя (исполнителя, продавца, уполномоченной организации или уполномоченного индивидуального предпринимателя, импортера) в отношении неопределенного круга потребителей – 4. Кроме этого, в течение года проводились консультации по телефону с хозяйствующими субъектами по вопросам соблюдения законодательства и др.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Предложения по взаимодействию с ИОГВ УР, направлениях методической помощи муниципалитетам при внедрении Стандарта: 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- разработка методических рекомендаций для формирования Доклада по состоянию и развитию конкуренции в муниципальных образованиях.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D03A7B" w:rsidRPr="00C23424" w:rsidRDefault="00D03A7B" w:rsidP="00D03A7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b/>
          <w:sz w:val="26"/>
          <w:szCs w:val="26"/>
          <w:lang w:val="ru-RU"/>
        </w:rPr>
        <w:t>7. Предложения для рассмотрения в рамках обучающих мероприятий и тренингов, проводимых Минэкономики УР и УФАС по УР в 2022 году.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>Проведение обучения специалистов муниципальных образований по вопросам: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развития конкуренции (в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/>
        </w:rPr>
        <w:t>т.ч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/>
        </w:rPr>
        <w:t>. по системным мероприятиям Плана мероприятий (дорожной карты),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 - по антимонопольному </w:t>
      </w:r>
      <w:proofErr w:type="spellStart"/>
      <w:r w:rsidRPr="00C23424">
        <w:rPr>
          <w:rFonts w:ascii="Times New Roman" w:hAnsi="Times New Roman" w:cs="Times New Roman"/>
          <w:sz w:val="26"/>
          <w:szCs w:val="26"/>
          <w:lang w:val="ru-RU"/>
        </w:rPr>
        <w:t>комплаенсу</w:t>
      </w:r>
      <w:proofErr w:type="spellEnd"/>
      <w:r w:rsidRPr="00C23424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D03A7B" w:rsidRPr="00C23424" w:rsidRDefault="00D03A7B" w:rsidP="00D03A7B">
      <w:pPr>
        <w:tabs>
          <w:tab w:val="left" w:pos="993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  <w:sectPr w:rsidR="00D03A7B" w:rsidRPr="00C23424" w:rsidSect="001F1BDD">
          <w:pgSz w:w="11906" w:h="16838"/>
          <w:pgMar w:top="567" w:right="849" w:bottom="142" w:left="1418" w:header="708" w:footer="708" w:gutter="0"/>
          <w:cols w:space="708"/>
          <w:docGrid w:linePitch="360"/>
        </w:sectPr>
      </w:pPr>
      <w:r w:rsidRPr="00C23424">
        <w:rPr>
          <w:rFonts w:ascii="Times New Roman" w:hAnsi="Times New Roman" w:cs="Times New Roman"/>
          <w:sz w:val="26"/>
          <w:szCs w:val="26"/>
          <w:lang w:val="ru-RU"/>
        </w:rPr>
        <w:t xml:space="preserve">- по изменениям </w:t>
      </w:r>
      <w:r w:rsidR="001F1BDD">
        <w:rPr>
          <w:rFonts w:ascii="Times New Roman" w:hAnsi="Times New Roman" w:cs="Times New Roman"/>
          <w:sz w:val="26"/>
          <w:szCs w:val="26"/>
          <w:lang w:val="ru-RU"/>
        </w:rPr>
        <w:t>законодательства в сфере закупок</w:t>
      </w:r>
      <w:bookmarkStart w:id="0" w:name="_GoBack"/>
      <w:bookmarkEnd w:id="0"/>
    </w:p>
    <w:p w:rsidR="007C1241" w:rsidRPr="00D03A7B" w:rsidRDefault="007C1241" w:rsidP="001F1BDD">
      <w:pPr>
        <w:ind w:firstLine="0"/>
        <w:rPr>
          <w:lang w:val="ru-RU"/>
        </w:rPr>
      </w:pPr>
    </w:p>
    <w:sectPr w:rsidR="007C1241" w:rsidRPr="00D03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44E9E"/>
    <w:multiLevelType w:val="hybridMultilevel"/>
    <w:tmpl w:val="2E5E3004"/>
    <w:lvl w:ilvl="0" w:tplc="6376FC00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7B"/>
    <w:rsid w:val="001F1BDD"/>
    <w:rsid w:val="007C1241"/>
    <w:rsid w:val="009135D4"/>
    <w:rsid w:val="00D0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1EB14-C0EE-4DAB-A756-A0E6C6BB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A7B"/>
    <w:pPr>
      <w:spacing w:after="200" w:line="360" w:lineRule="auto"/>
      <w:ind w:firstLine="709"/>
      <w:jc w:val="both"/>
    </w:pPr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A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3A7B"/>
    <w:rPr>
      <w:color w:val="0000FF"/>
      <w:u w:val="single"/>
    </w:rPr>
  </w:style>
  <w:style w:type="paragraph" w:customStyle="1" w:styleId="1">
    <w:name w:val="Обычный1"/>
    <w:rsid w:val="00D03A7B"/>
    <w:pPr>
      <w:spacing w:after="0" w:line="276" w:lineRule="auto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-gorodsreda.ru" TargetMode="External"/><Relationship Id="rId13" Type="http://schemas.openxmlformats.org/officeDocument/2006/relationships/hyperlink" Target="https://www.mozhga-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zhga-gov.ru/city/finansy_i_byudzhet/oprosy" TargetMode="External"/><Relationship Id="rId12" Type="http://schemas.openxmlformats.org/officeDocument/2006/relationships/hyperlink" Target="https://www.mozhga-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zhga-gov.ru/city/finansy_i_byudzhet/oprosy" TargetMode="External"/><Relationship Id="rId11" Type="http://schemas.openxmlformats.org/officeDocument/2006/relationships/hyperlink" Target="https://rcoko18.ru/nokdod/2021/" TargetMode="External"/><Relationship Id="rId5" Type="http://schemas.openxmlformats.org/officeDocument/2006/relationships/hyperlink" Target="https://www.mozhga-gov.ru/city/invest/investment-attractivenes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google.com/forms/d/e/1FAIpQLSeW8Ik7IPoBTEFP0oLoBx6DqgEO677CLE3TN3xsRfDMyaau-A/view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1pYoixMX2bkO7zqx8iuYeJ2lFRgkUfcFwELR3EqT9WNU/viewform?edit_requested=tru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Бардина О.Ю.</dc:creator>
  <cp:keywords/>
  <dc:description/>
  <cp:lastModifiedBy>Бардина О.Ю.</cp:lastModifiedBy>
  <cp:revision>2</cp:revision>
  <dcterms:created xsi:type="dcterms:W3CDTF">2022-02-15T07:14:00Z</dcterms:created>
  <dcterms:modified xsi:type="dcterms:W3CDTF">2022-02-15T09:38:00Z</dcterms:modified>
</cp:coreProperties>
</file>