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  <w:bookmarkStart w:id="0" w:name="_GoBack"/>
      <w:bookmarkEnd w:id="0"/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7F6280">
        <w:t>19</w:t>
      </w:r>
      <w:r w:rsidR="007567FF">
        <w:t>»</w:t>
      </w:r>
      <w:r w:rsidR="00776602">
        <w:t xml:space="preserve"> </w:t>
      </w:r>
      <w:r w:rsidR="007F6280">
        <w:t>но</w:t>
      </w:r>
      <w:r w:rsidR="00EE4E73">
        <w:t>ября</w:t>
      </w:r>
      <w:r w:rsidR="00776602">
        <w:t xml:space="preserve"> </w:t>
      </w:r>
      <w:r w:rsidR="007567FF">
        <w:t xml:space="preserve"> </w:t>
      </w:r>
      <w:r w:rsidR="002A4D6D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EE4E73" w:rsidRDefault="00EE4E73" w:rsidP="007F6280"/>
    <w:p w:rsidR="00EE4E73" w:rsidRDefault="00EE4E73" w:rsidP="00FC7678"/>
    <w:p w:rsidR="00EE4E73" w:rsidRPr="00E865A0" w:rsidRDefault="00EE4E73" w:rsidP="00EE4E73">
      <w:pPr>
        <w:jc w:val="right"/>
      </w:pPr>
      <w:r w:rsidRPr="00846E34">
        <w:t xml:space="preserve">Приложение </w:t>
      </w:r>
      <w:r w:rsidR="007F6280">
        <w:t>№ 1</w:t>
      </w:r>
      <w:r w:rsidRPr="00846E34">
        <w:t xml:space="preserve"> к Решению от </w:t>
      </w:r>
      <w:r w:rsidR="007F6280">
        <w:t>«19» но</w:t>
      </w:r>
      <w:r w:rsidRPr="00846E34">
        <w:t>ября  2020 года</w:t>
      </w:r>
    </w:p>
    <w:p w:rsidR="00EE4E73" w:rsidRDefault="00EE4E73" w:rsidP="00EE4E73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EE4E73" w:rsidRPr="00E865A0" w:rsidTr="001E3385">
        <w:trPr>
          <w:trHeight w:val="848"/>
          <w:jc w:val="center"/>
        </w:trPr>
        <w:tc>
          <w:tcPr>
            <w:tcW w:w="710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Способ прива-тизации</w:t>
            </w:r>
          </w:p>
        </w:tc>
        <w:tc>
          <w:tcPr>
            <w:tcW w:w="16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EE4E73" w:rsidRPr="00E865A0" w:rsidTr="001E3385">
        <w:trPr>
          <w:trHeight w:val="255"/>
          <w:jc w:val="center"/>
        </w:trPr>
        <w:tc>
          <w:tcPr>
            <w:tcW w:w="710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EE4E73" w:rsidRPr="004377D5" w:rsidRDefault="00EE4E73" w:rsidP="001E338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здравоохранения, общая площадь 76 кв. м., этаж 1, номера на поэтажном плане 1,2,3,4,5,6, кадастровый номер: 18:29:002271:265,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ул. Октябрьская, д. 13</w:t>
            </w:r>
          </w:p>
        </w:tc>
        <w:tc>
          <w:tcPr>
            <w:tcW w:w="142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564 000</w:t>
            </w:r>
          </w:p>
        </w:tc>
        <w:tc>
          <w:tcPr>
            <w:tcW w:w="1356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28 200</w:t>
            </w:r>
          </w:p>
        </w:tc>
        <w:tc>
          <w:tcPr>
            <w:tcW w:w="14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56 400</w:t>
            </w:r>
          </w:p>
        </w:tc>
        <w:tc>
          <w:tcPr>
            <w:tcW w:w="215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282 000</w:t>
            </w:r>
          </w:p>
        </w:tc>
        <w:tc>
          <w:tcPr>
            <w:tcW w:w="16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112 800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89" w:rsidRDefault="00006689" w:rsidP="00B24C12">
      <w:r>
        <w:separator/>
      </w:r>
    </w:p>
  </w:endnote>
  <w:endnote w:type="continuationSeparator" w:id="0">
    <w:p w:rsidR="00006689" w:rsidRDefault="00006689" w:rsidP="00B2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89" w:rsidRDefault="00006689" w:rsidP="00B24C12">
      <w:r>
        <w:separator/>
      </w:r>
    </w:p>
  </w:footnote>
  <w:footnote w:type="continuationSeparator" w:id="0">
    <w:p w:rsidR="00006689" w:rsidRDefault="00006689" w:rsidP="00B2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12" w:rsidRDefault="00B24C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06689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7F6280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24C12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24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4C12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4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4C12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2020-11-20T11:04:00Z</dcterms:created>
  <dcterms:modified xsi:type="dcterms:W3CDTF">2020-11-20T11:04:00Z</dcterms:modified>
</cp:coreProperties>
</file>